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E84" w:rsidRDefault="00647E84">
      <w:pPr>
        <w:jc w:val="center"/>
        <w:rPr>
          <w:b/>
        </w:rPr>
      </w:pPr>
    </w:p>
    <w:p w:rsidR="00647E84" w:rsidRDefault="00E8219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647E84" w:rsidRDefault="00E8219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647E84" w:rsidRDefault="00E8219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647E84" w:rsidRDefault="00647E84">
      <w:pPr>
        <w:rPr>
          <w:rFonts w:ascii="Times New Roman" w:eastAsia="Times New Roman" w:hAnsi="Times New Roman" w:cs="Times New Roman"/>
        </w:rPr>
      </w:pPr>
    </w:p>
    <w:p w:rsidR="00647E84" w:rsidRDefault="00647E84">
      <w:pPr>
        <w:rPr>
          <w:b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647E84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Clinical Pharmacology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518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647E84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Maltepe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647E84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647E84" w:rsidRDefault="00E8219C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647E84" w:rsidRDefault="00647E84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647E84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647E84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647E84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Course Coordinator, Correspondence Information and Office Hours: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Esra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SAĞLAM, MD., Professor, </w:t>
            </w:r>
            <w:proofErr w:type="spellStart"/>
            <w:r>
              <w:rPr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University, Faculty of Medicine, 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Pharmacology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esraksaglam@gmail.com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Office Hours:</w:t>
            </w:r>
          </w:p>
          <w:p w:rsidR="00647E84" w:rsidRDefault="00E82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Monday:10.00-12.00</w:t>
            </w:r>
          </w:p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647E84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Esra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SAĞLAM, MD., Professor,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Medicine, 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Pharmacology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esraksaglam@gmail.com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Monday:10.00-12.00</w:t>
                  </w:r>
                </w:p>
                <w:p w:rsidR="00647E84" w:rsidRDefault="00647E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Tuğba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GÜMÜŞTAŞ, Assist. Prof.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Medicine, 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Pharmacology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tugba.gumustas@maltepe.edu.tr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lastRenderedPageBreak/>
                    <w:t xml:space="preserve">Tuesday: </w:t>
                  </w:r>
                  <w:r>
                    <w:rPr>
                      <w:color w:val="000000"/>
                      <w:sz w:val="20"/>
                      <w:szCs w:val="20"/>
                    </w:rPr>
                    <w:t>10.00-12.00</w:t>
                  </w:r>
                </w:p>
                <w:p w:rsidR="00647E84" w:rsidRDefault="00647E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general objective of this internship program is to provide the students with knowledge and experience in the following subjects:  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order to decide for a rational pharmacotherapy, to develop a method for defining the best therapeutic approach by comparing available therapeutic alternatives in terms of “efficacy”, “safety”, “suitability” and “cost”. 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“Good and correct” prescribing,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 inform the patients about their diseases and treatments / drugs,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 establish a good patient-physician relationship and thus improve patients’ adaptation to treatment  </w:t>
            </w:r>
          </w:p>
          <w:p w:rsidR="00647E84" w:rsidRDefault="00E8219C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To expertise in dosage forms and drug application methods  </w:t>
            </w:r>
          </w:p>
          <w:p w:rsidR="00647E84" w:rsidRDefault="00647E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647E84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47E84" w:rsidRDefault="00647E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647E84">
        <w:trPr>
          <w:trHeight w:val="10152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Students completing this course;</w:t>
            </w:r>
          </w:p>
          <w:tbl>
            <w:tblPr>
              <w:tblStyle w:val="a6"/>
              <w:tblW w:w="8790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430"/>
              <w:gridCol w:w="1335"/>
              <w:gridCol w:w="1230"/>
            </w:tblGrid>
            <w:tr w:rsidR="00647E84"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Sıra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No.</w:t>
                  </w:r>
                </w:p>
              </w:tc>
              <w:tc>
                <w:tcPr>
                  <w:tcW w:w="543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Öğrenme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Çıktısı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/ Alt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Beceri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/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Yeterlilikler</w:t>
                  </w:r>
                  <w:proofErr w:type="spellEnd"/>
                </w:p>
              </w:tc>
              <w:tc>
                <w:tcPr>
                  <w:tcW w:w="1335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Eğitim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Yöntemi</w:t>
                  </w:r>
                  <w:proofErr w:type="spellEnd"/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ÖD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Yöntemi</w:t>
                  </w:r>
                  <w:proofErr w:type="spellEnd"/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1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write accurate, legible prescriptions and e-prescriptions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EY4, EY8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2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accurately dissolve and mix drugs to be applied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 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3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accurately calculate the drug doses to be administered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EY4,EY6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4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Diagnosis can be defined in detail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 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5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identify treatment goals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6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make a list of active drug groups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 ÖD1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7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select an effective drug group (P-group) according to established criteria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8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choose P-drug from P-group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>9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sz w:val="20"/>
                      <w:szCs w:val="20"/>
                    </w:rPr>
                    <w:t>Can define the concept of P-drug and recognize its advantages and disadvantages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Actively participate in the step-by-step experience of choosing P-drugs for a given indication, comparing them in terms of “efficacy, safety, suitability, and cost”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Able to correlate diagnosis with therapeutic goals; may link P-drugs to therapeutic goals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EY2,EY6,EY9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plan drug therapy, provide good communication with the patient and make the treatment understandable.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EY8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Can make a drug decision in a special population such as pregnancy and breastfeeding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EY2,EY6, EY10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ÖD7,ÖD1</w:t>
                  </w:r>
                </w:p>
              </w:tc>
            </w:tr>
            <w:tr w:rsidR="00647E84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4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E8219C">
                  <w:pPr>
                    <w:widowControl w:val="0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Evaluate drug-drug interactions</w:t>
                  </w:r>
                </w:p>
              </w:tc>
              <w:tc>
                <w:tcPr>
                  <w:tcW w:w="13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EY2,EY5,EY6, EY10</w:t>
                  </w:r>
                </w:p>
              </w:tc>
              <w:tc>
                <w:tcPr>
                  <w:tcW w:w="123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47E84" w:rsidRDefault="00E8219C">
                  <w:pPr>
                    <w:widowControl w:val="0"/>
                    <w:jc w:val="center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ÖD5, ÖD1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Able to adapt to different social roles in various situations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647E84" w:rsidRDefault="00E8219C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Clinical pharmacokinetics</w:t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Therapeutic drug monitoring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Adverse drug reactions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Treatment principles in drug intoxications  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Drug interaction mechanisms and clinical importance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Drug treatment in the elderly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Drug treatment in pediatric patients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Drug treatment in pregnancy and lactation periods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Drug treatment in renal disorders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Drug treatment in hepatic disorders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Principles of Rational Pharmacotherapy</w:t>
            </w:r>
            <w:r>
              <w:rPr>
                <w:sz w:val="20"/>
                <w:szCs w:val="20"/>
              </w:rPr>
              <w:tab/>
            </w:r>
          </w:p>
          <w:p w:rsidR="00647E84" w:rsidRDefault="00E8219C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Pharmaceutical forms and administration routes 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Principles of Good Prescribing </w:t>
            </w:r>
          </w:p>
          <w:p w:rsidR="00647E84" w:rsidRDefault="00E8219C">
            <w:pPr>
              <w:rPr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t>14. P (personal)- drugs and introduction of MAUA forms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Selection of P-drugs 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 Diagnosis of essential hypertension, therapeutic goals and non-pharmacological treatments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 P-drug selection in essential hypertension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 Case studies in essential hypertension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19. Diagnosis of acute infection, therapeutic goals and non-pharmacological treatments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20. P-drug selection in infections. 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 Case studies in acute infection </w:t>
            </w:r>
          </w:p>
          <w:p w:rsidR="00647E84" w:rsidRDefault="00647E8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647E84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jc w:val="both"/>
              <w:rPr>
                <w:sz w:val="20"/>
                <w:szCs w:val="20"/>
              </w:rPr>
            </w:pPr>
          </w:p>
          <w:p w:rsidR="00647E84" w:rsidRDefault="00E8219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Reference Books: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Goodman&amp; </w:t>
            </w:r>
            <w:proofErr w:type="spellStart"/>
            <w:r>
              <w:rPr>
                <w:sz w:val="20"/>
                <w:szCs w:val="20"/>
              </w:rPr>
              <w:t>Gilman’sThePharmacological</w:t>
            </w:r>
            <w:proofErr w:type="spellEnd"/>
            <w:r>
              <w:rPr>
                <w:sz w:val="20"/>
                <w:szCs w:val="20"/>
              </w:rPr>
              <w:t xml:space="preserve"> Basis of Therapeutics 11th edition, McGraw-Hill, </w:t>
            </w:r>
            <w:proofErr w:type="spellStart"/>
            <w:r>
              <w:rPr>
                <w:sz w:val="20"/>
                <w:szCs w:val="20"/>
              </w:rPr>
              <w:t>Yazarlar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LaurenceBrunton</w:t>
            </w:r>
            <w:proofErr w:type="spellEnd"/>
            <w:r>
              <w:rPr>
                <w:sz w:val="20"/>
                <w:szCs w:val="20"/>
              </w:rPr>
              <w:t xml:space="preserve">, John </w:t>
            </w:r>
            <w:proofErr w:type="spellStart"/>
            <w:r>
              <w:rPr>
                <w:sz w:val="20"/>
                <w:szCs w:val="20"/>
              </w:rPr>
              <w:t>Lazo</w:t>
            </w:r>
            <w:proofErr w:type="spellEnd"/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Basic </w:t>
            </w:r>
            <w:proofErr w:type="spellStart"/>
            <w:r>
              <w:rPr>
                <w:sz w:val="20"/>
                <w:szCs w:val="20"/>
              </w:rPr>
              <w:t>andClinicalPharmacology</w:t>
            </w:r>
            <w:proofErr w:type="spellEnd"/>
            <w:r>
              <w:rPr>
                <w:sz w:val="20"/>
                <w:szCs w:val="20"/>
              </w:rPr>
              <w:t xml:space="preserve"> (Lange Basic Science) 11th edition, McGraw-Hill, </w:t>
            </w:r>
            <w:proofErr w:type="spellStart"/>
            <w:r>
              <w:rPr>
                <w:sz w:val="20"/>
                <w:szCs w:val="20"/>
              </w:rPr>
              <w:t>Yazarlar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BertramKatzung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AnthonyTrevor</w:t>
            </w:r>
            <w:proofErr w:type="spellEnd"/>
            <w:r>
              <w:rPr>
                <w:sz w:val="20"/>
                <w:szCs w:val="20"/>
              </w:rPr>
              <w:t>, Susan Masters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Textbook of Psychopharmacology 5th edition, </w:t>
            </w:r>
            <w:proofErr w:type="spellStart"/>
            <w:r>
              <w:rPr>
                <w:sz w:val="20"/>
                <w:szCs w:val="20"/>
              </w:rPr>
              <w:t>TheAmericanPsychiatric</w:t>
            </w:r>
            <w:proofErr w:type="spellEnd"/>
            <w:r>
              <w:rPr>
                <w:sz w:val="20"/>
                <w:szCs w:val="20"/>
              </w:rPr>
              <w:t xml:space="preserve"> Publishing,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Ed: Alan F. </w:t>
            </w:r>
            <w:proofErr w:type="spellStart"/>
            <w:r>
              <w:rPr>
                <w:sz w:val="20"/>
                <w:szCs w:val="20"/>
              </w:rPr>
              <w:t>Schatzberg</w:t>
            </w:r>
            <w:proofErr w:type="spellEnd"/>
            <w:r>
              <w:rPr>
                <w:sz w:val="20"/>
                <w:szCs w:val="20"/>
              </w:rPr>
              <w:t xml:space="preserve">, Charles B. </w:t>
            </w:r>
            <w:proofErr w:type="spellStart"/>
            <w:r>
              <w:rPr>
                <w:sz w:val="20"/>
                <w:szCs w:val="20"/>
              </w:rPr>
              <w:t>Nemeroff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:rsidR="00647E84" w:rsidRDefault="00E8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Rasyonel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Tedavi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yönünden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Tıbbi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Farmakoloji</w:t>
            </w:r>
            <w:proofErr w:type="spellEnd"/>
            <w:r>
              <w:rPr>
                <w:sz w:val="20"/>
                <w:szCs w:val="20"/>
              </w:rPr>
              <w:t xml:space="preserve"> 2009, </w:t>
            </w:r>
            <w:proofErr w:type="spellStart"/>
            <w:r>
              <w:rPr>
                <w:sz w:val="20"/>
                <w:szCs w:val="20"/>
              </w:rPr>
              <w:t>Pelikan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yayıncılık</w:t>
            </w:r>
            <w:proofErr w:type="spellEnd"/>
            <w:r>
              <w:rPr>
                <w:sz w:val="20"/>
                <w:szCs w:val="20"/>
              </w:rPr>
              <w:t xml:space="preserve">, Ed: S. </w:t>
            </w:r>
            <w:proofErr w:type="spellStart"/>
            <w:r>
              <w:rPr>
                <w:sz w:val="20"/>
                <w:szCs w:val="20"/>
              </w:rPr>
              <w:t>Oğuz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Kayaalp</w:t>
            </w:r>
            <w:proofErr w:type="spellEnd"/>
          </w:p>
          <w:p w:rsidR="00647E84" w:rsidRDefault="00647E84">
            <w:pPr>
              <w:ind w:right="-110"/>
              <w:jc w:val="both"/>
              <w:rPr>
                <w:b/>
                <w:sz w:val="20"/>
                <w:szCs w:val="20"/>
              </w:rPr>
            </w:pPr>
          </w:p>
          <w:p w:rsidR="00647E84" w:rsidRDefault="00E8219C">
            <w:pPr>
              <w:widowControl w:val="0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8"/>
                <w:szCs w:val="18"/>
              </w:rPr>
              <w:t>Supplemantary</w:t>
            </w:r>
            <w:proofErr w:type="spellEnd"/>
            <w:r>
              <w:rPr>
                <w:b/>
                <w:sz w:val="18"/>
                <w:szCs w:val="18"/>
              </w:rPr>
              <w:t xml:space="preserve">  Readings </w:t>
            </w:r>
            <w:r>
              <w:rPr>
                <w:color w:val="FF0000"/>
                <w:sz w:val="14"/>
                <w:szCs w:val="14"/>
              </w:rPr>
              <w:br/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647E84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%20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(Ideas, concerns and expectations)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%20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%60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647E84" w:rsidRDefault="00E8219C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647E84" w:rsidRDefault="00E8219C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 Students whose attendance rate is below 80% cannot take the exam.</w:t>
            </w:r>
          </w:p>
          <w:p w:rsidR="00647E84" w:rsidRDefault="00E8219C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 Students who get less than 60% in total are considered unsuccessful.</w:t>
            </w:r>
          </w:p>
          <w:p w:rsidR="00647E84" w:rsidRDefault="00647E84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</w:p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647E84" w:rsidRDefault="00E8219C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and Evaluation System is organized according to T.C. </w:t>
            </w:r>
            <w:proofErr w:type="spellStart"/>
            <w:r>
              <w:rPr>
                <w:sz w:val="18"/>
                <w:szCs w:val="18"/>
              </w:rPr>
              <w:t>Maltepe</w:t>
            </w:r>
            <w:proofErr w:type="spellEnd"/>
            <w:r>
              <w:rPr>
                <w:sz w:val="18"/>
                <w:szCs w:val="18"/>
              </w:rPr>
              <w:t xml:space="preserve"> University Faculty of Medicine Education and Training Regulations.</w:t>
            </w: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647E84" w:rsidRDefault="00647E8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28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>
                    <w:rPr>
                      <w:sz w:val="20"/>
                      <w:szCs w:val="20"/>
                    </w:rPr>
                    <w:t>etc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47E84" w:rsidRDefault="00E8219C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647E84" w:rsidRDefault="00E8219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647E84" w:rsidRDefault="00E821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95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47E84" w:rsidRDefault="00647E8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RELATIONSHIP BETWEEN CLINICAL PHARMACOLOGY CLERKSHIP LEARNING OUTCOMES AND MEDICAL EDUCATION PROGRAMME KEY LEARNING OUTCOMES</w:t>
            </w:r>
          </w:p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47E8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647E84">
              <w:tc>
                <w:tcPr>
                  <w:tcW w:w="577" w:type="dxa"/>
                  <w:vMerge w:val="restart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647E84" w:rsidRDefault="00647E8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Merge/>
                  <w:vAlign w:val="center"/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explain the pathogenesis, clinical and diagnostic features of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diseases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Able to take patient’s medical history and perform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perform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general and system-based physical examinations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in life threatening emergency situations.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apply basic medical interventions necessary for the diagnosis and treatment of diseases.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of most prevalent disorders in the community with effective evidence based medical methods.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conduct scientific meetings and projects 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47E84">
              <w:tc>
                <w:tcPr>
                  <w:tcW w:w="577" w:type="dxa"/>
                  <w:vAlign w:val="center"/>
                </w:tcPr>
                <w:p w:rsidR="00647E84" w:rsidRDefault="00E821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647E84" w:rsidRDefault="00E821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647E84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47E84" w:rsidRDefault="00E8219C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647E84" w:rsidRDefault="00647E84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p w:rsidR="00647E84" w:rsidRDefault="00647E84">
      <w:pPr>
        <w:rPr>
          <w:rFonts w:ascii="Times New Roman" w:eastAsia="Times New Roman" w:hAnsi="Times New Roman" w:cs="Times New Roman"/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47E8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PHASE 5 MED 518 CLINICAL PHARMACOLOGY CLERKSHIP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COURSE LIST AND RANKING</w:t>
            </w:r>
          </w:p>
        </w:tc>
      </w:tr>
      <w:tr w:rsidR="00647E84">
        <w:trPr>
          <w:trHeight w:val="952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7966"/>
              <w:gridCol w:w="253"/>
            </w:tblGrid>
            <w:tr w:rsidR="00647E84" w:rsidTr="00E8219C">
              <w:trPr>
                <w:trHeight w:val="6487"/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647E8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647E84" w:rsidRDefault="00647E8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Calibri" w:eastAsia="Calibri" w:hAnsi="Calibri" w:cs="Calibri"/>
                    </w:rPr>
                  </w:pPr>
                </w:p>
                <w:tbl>
                  <w:tblPr>
                    <w:tblStyle w:val="af2"/>
                    <w:tblW w:w="12446" w:type="dxa"/>
                    <w:tblInd w:w="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974"/>
                    <w:gridCol w:w="4236"/>
                    <w:gridCol w:w="4236"/>
                  </w:tblGrid>
                  <w:tr w:rsidR="006656B5" w:rsidTr="00D119CD"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Introduction to the Clerkship: Getting acquainted, learning principles and the functioning of the internship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</w:tr>
                  <w:tr w:rsidR="006656B5" w:rsidTr="00D119CD"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Rational pharmacotherapy principles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</w:tr>
                  <w:tr w:rsidR="006656B5" w:rsidTr="00D119CD"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P(personal)-drugs / Introduction of “MAUA” forms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Prescribing rules, E-prescribing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Doç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Zeynep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Güneş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Özünal</w:t>
                        </w:r>
                        <w:proofErr w:type="spellEnd"/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</w:pPr>
                        <w:r w:rsidRPr="00E8219C"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Distribution of the topics that will be prepared for the trea</w:t>
                        </w: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tment of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Group studies and student presentations 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 xml:space="preserve">Treatment principles and </w:t>
                        </w:r>
                        <w:proofErr w:type="spellStart"/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nonpharmacological</w:t>
                        </w:r>
                        <w:proofErr w:type="spellEnd"/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 xml:space="preserve"> therapy group studies and student presentations 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Essential hypertension treatment group studies and student presentations for special groups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P-drug selection 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 xml:space="preserve">Preparation of drug formulary </w:t>
                        </w: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for essential hypertension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Essential hypertension case study analysis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  <w:i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  <w:p w:rsidR="006656B5" w:rsidRDefault="006656B5" w:rsidP="006656B5">
                        <w:pPr>
                          <w:ind w:hanging="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Drug administration routes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Rational drug use during pregnancy and lactation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Drug safety, pharmacovigilance system and adverse effect reporting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Dr.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Öğr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Üyesi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Tuğba</w:t>
                        </w:r>
                        <w:proofErr w:type="spellEnd"/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  <w:szCs w:val="20"/>
                          </w:rPr>
                          <w:t>Gümüştaş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  <w:tr w:rsidR="006656B5" w:rsidTr="00D119CD">
                    <w:trPr>
                      <w:trHeight w:val="90"/>
                    </w:trPr>
                    <w:tc>
                      <w:tcPr>
                        <w:tcW w:w="3974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inherit" w:eastAsia="inherit" w:hAnsi="inherit" w:cs="inherit"/>
                            <w:color w:val="202124"/>
                            <w:sz w:val="20"/>
                            <w:szCs w:val="20"/>
                          </w:rPr>
                          <w:t>Drug-drug interactions and their clinical significance</w:t>
                        </w:r>
                      </w:p>
                    </w:tc>
                    <w:tc>
                      <w:tcPr>
                        <w:tcW w:w="4236" w:type="dxa"/>
                        <w:vAlign w:val="center"/>
                      </w:tcPr>
                      <w:p w:rsidR="006656B5" w:rsidRDefault="006656B5" w:rsidP="006656B5">
                        <w:pPr>
                          <w:ind w:hanging="2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Prof. Dr.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Esra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i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4236" w:type="dxa"/>
                      </w:tcPr>
                      <w:p w:rsidR="006656B5" w:rsidRDefault="006656B5" w:rsidP="006656B5">
                        <w:pPr>
                          <w:rPr>
                            <w:rFonts w:ascii="Calibri" w:eastAsia="Calibri" w:hAnsi="Calibri" w:cs="Calibri"/>
                            <w:i/>
                          </w:rPr>
                        </w:pPr>
                      </w:p>
                    </w:tc>
                  </w:tr>
                </w:tbl>
                <w:p w:rsidR="00647E84" w:rsidRDefault="00647E8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2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47E84" w:rsidRDefault="00647E84">
                  <w:pPr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647E84" w:rsidRDefault="00647E84">
            <w:bookmarkStart w:id="0" w:name="_gjdgxs" w:colFirst="0" w:colLast="0"/>
            <w:bookmarkEnd w:id="0"/>
          </w:p>
        </w:tc>
      </w:tr>
    </w:tbl>
    <w:p w:rsidR="00647E84" w:rsidRDefault="00647E84">
      <w:pPr>
        <w:jc w:val="center"/>
        <w:sectPr w:rsidR="00647E84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647E84" w:rsidRDefault="00647E84">
      <w:pPr>
        <w:jc w:val="center"/>
      </w:pPr>
    </w:p>
    <w:tbl>
      <w:tblPr>
        <w:tblStyle w:val="af8"/>
        <w:tblW w:w="1492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"/>
        <w:gridCol w:w="3108"/>
        <w:gridCol w:w="2418"/>
        <w:gridCol w:w="3617"/>
        <w:gridCol w:w="2368"/>
        <w:gridCol w:w="2623"/>
      </w:tblGrid>
      <w:tr w:rsidR="00647E84">
        <w:tc>
          <w:tcPr>
            <w:tcW w:w="14925" w:type="dxa"/>
            <w:gridSpan w:val="6"/>
            <w:shd w:val="clear" w:color="auto" w:fill="DDDDDD"/>
            <w:vAlign w:val="center"/>
          </w:tcPr>
          <w:p w:rsidR="00647E84" w:rsidRDefault="00647E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47E84" w:rsidRDefault="00E8219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PHASE 5 MED 518 CLINICAL PHARMACOLOGY CLERKSHIP SCHEDULE</w:t>
            </w:r>
          </w:p>
          <w:p w:rsidR="00647E84" w:rsidRDefault="00647E8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14925" w:type="dxa"/>
            <w:gridSpan w:val="6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Week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Days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Monday 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Tuesday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Wednesday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Thursday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Friday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9:00-9:50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Introduction of the </w:t>
            </w:r>
            <w:r w:rsidR="006656B5">
              <w:rPr>
                <w:rFonts w:ascii="inherit" w:eastAsia="inherit" w:hAnsi="inherit" w:cs="inherit"/>
                <w:color w:val="202124"/>
              </w:rPr>
              <w:t>clerkship</w:t>
            </w:r>
            <w:r>
              <w:rPr>
                <w:rFonts w:ascii="inherit" w:eastAsia="inherit" w:hAnsi="inherit" w:cs="inherit"/>
                <w:color w:val="202124"/>
              </w:rPr>
              <w:t>: Getting acquainted, learning principles and the functioning of the internship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Treatment principles and </w:t>
            </w:r>
            <w:proofErr w:type="spellStart"/>
            <w:r>
              <w:rPr>
                <w:rFonts w:ascii="inherit" w:eastAsia="inherit" w:hAnsi="inherit" w:cs="inherit"/>
                <w:color w:val="202124"/>
              </w:rPr>
              <w:t>nonpharmacological</w:t>
            </w:r>
            <w:proofErr w:type="spellEnd"/>
            <w:r>
              <w:rPr>
                <w:rFonts w:ascii="inherit" w:eastAsia="inherit" w:hAnsi="inherit" w:cs="inherit"/>
                <w:color w:val="202124"/>
              </w:rPr>
              <w:t xml:space="preserve">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10:00-10:50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Rational pharmacotherapy principles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Treatment principles and </w:t>
            </w:r>
            <w:proofErr w:type="spellStart"/>
            <w:r>
              <w:rPr>
                <w:rFonts w:ascii="inherit" w:eastAsia="inherit" w:hAnsi="inherit" w:cs="inherit"/>
                <w:color w:val="202124"/>
              </w:rPr>
              <w:t>nonpharmacological</w:t>
            </w:r>
            <w:proofErr w:type="spellEnd"/>
            <w:r>
              <w:rPr>
                <w:rFonts w:ascii="inherit" w:eastAsia="inherit" w:hAnsi="inherit" w:cs="inherit"/>
                <w:color w:val="202124"/>
              </w:rPr>
              <w:t xml:space="preserve">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11:00-11:50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P(personal)-drugs / Introduction of “MAUA” forms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Treatment principles and </w:t>
            </w:r>
            <w:proofErr w:type="spellStart"/>
            <w:r>
              <w:rPr>
                <w:rFonts w:ascii="inherit" w:eastAsia="inherit" w:hAnsi="inherit" w:cs="inherit"/>
                <w:color w:val="202124"/>
              </w:rPr>
              <w:t>nonpharmacological</w:t>
            </w:r>
            <w:proofErr w:type="spellEnd"/>
            <w:r>
              <w:rPr>
                <w:rFonts w:ascii="inherit" w:eastAsia="inherit" w:hAnsi="inherit" w:cs="inherit"/>
                <w:color w:val="202124"/>
              </w:rPr>
              <w:t xml:space="preserve">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12:00-12:50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Prescribing rules, E-prescribing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Treatment principles and </w:t>
            </w:r>
            <w:proofErr w:type="spellStart"/>
            <w:r>
              <w:rPr>
                <w:rFonts w:ascii="inherit" w:eastAsia="inherit" w:hAnsi="inherit" w:cs="inherit"/>
                <w:color w:val="202124"/>
              </w:rPr>
              <w:t>nonpharmacological</w:t>
            </w:r>
            <w:proofErr w:type="spellEnd"/>
            <w:r>
              <w:rPr>
                <w:rFonts w:ascii="inherit" w:eastAsia="inherit" w:hAnsi="inherit" w:cs="inherit"/>
                <w:color w:val="202124"/>
              </w:rPr>
              <w:t xml:space="preserve"> therapy group studies and student presentations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14:00-14:50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Assignments and evidence-based resources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treatment group studies and student presentations for special groups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15:00-15:50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Study</w:t>
            </w:r>
            <w:r w:rsidR="006656B5">
              <w:rPr>
                <w:rFonts w:ascii="inherit" w:eastAsia="inherit" w:hAnsi="inherit" w:cs="inherit"/>
                <w:color w:val="202124"/>
              </w:rPr>
              <w:t xml:space="preserve"> </w:t>
            </w:r>
            <w:r>
              <w:rPr>
                <w:rFonts w:ascii="inherit" w:eastAsia="inherit" w:hAnsi="inherit" w:cs="inherit"/>
                <w:color w:val="202124"/>
              </w:rPr>
              <w:t>hours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Group studies and student presentations for essential hypertension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P-drug selection for essential hypertension</w:t>
            </w:r>
          </w:p>
        </w:tc>
        <w:tc>
          <w:tcPr>
            <w:tcW w:w="2623" w:type="dxa"/>
          </w:tcPr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47E84">
        <w:tc>
          <w:tcPr>
            <w:tcW w:w="14925" w:type="dxa"/>
            <w:gridSpan w:val="6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2.Week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9:00-9:50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inherit" w:eastAsia="inherit" w:hAnsi="inherit" w:cs="inherit"/>
                <w:color w:val="202124"/>
              </w:rPr>
            </w:pPr>
            <w:r>
              <w:rPr>
                <w:rFonts w:ascii="inherit" w:eastAsia="inherit" w:hAnsi="inherit" w:cs="inherit"/>
                <w:color w:val="202124"/>
              </w:rPr>
              <w:t>Feedbacks for previous week</w:t>
            </w:r>
          </w:p>
          <w:p w:rsidR="00647E84" w:rsidRDefault="00E8219C">
            <w:pPr>
              <w:rPr>
                <w:rFonts w:ascii="inherit" w:eastAsia="inherit" w:hAnsi="inherit" w:cs="inherit"/>
                <w:color w:val="202124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study analysis</w:t>
            </w:r>
          </w:p>
          <w:p w:rsidR="00647E84" w:rsidRDefault="00647E84">
            <w:pPr>
              <w:rPr>
                <w:rFonts w:ascii="inherit" w:eastAsia="inherit" w:hAnsi="inherit" w:cs="inherit"/>
                <w:color w:val="202124"/>
              </w:rPr>
            </w:pPr>
          </w:p>
          <w:p w:rsidR="00647E84" w:rsidRDefault="00647E8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647E84" w:rsidRDefault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OSCE</w:t>
            </w:r>
          </w:p>
        </w:tc>
      </w:tr>
      <w:tr w:rsidR="00647E84">
        <w:tc>
          <w:tcPr>
            <w:tcW w:w="791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10:00-10:50</w:t>
            </w:r>
          </w:p>
        </w:tc>
        <w:tc>
          <w:tcPr>
            <w:tcW w:w="310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41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3617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368" w:type="dxa"/>
          </w:tcPr>
          <w:p w:rsidR="00647E84" w:rsidRDefault="00E821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647E84" w:rsidRDefault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OSCE</w:t>
            </w: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11:00-11:50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inherit" w:eastAsia="inherit" w:hAnsi="inherit" w:cs="inherit"/>
                <w:color w:val="202124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studies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Theoretical exam 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OSCE</w:t>
            </w: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12:00-12:50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Essential hypertension case studies 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study analysis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Essential hypertension case study analysis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14:00-14:50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 – group A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 – group B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Rational drug use during pregnancy and lactation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15:00-15:50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safety, pharmacovigilance system and adverse effect reporting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A71D6">
        <w:tc>
          <w:tcPr>
            <w:tcW w:w="791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16:00-16:50</w:t>
            </w:r>
          </w:p>
        </w:tc>
        <w:tc>
          <w:tcPr>
            <w:tcW w:w="310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241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 administration routes</w:t>
            </w:r>
          </w:p>
        </w:tc>
        <w:tc>
          <w:tcPr>
            <w:tcW w:w="3617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inherit" w:eastAsia="inherit" w:hAnsi="inherit" w:cs="inherit"/>
                <w:color w:val="202124"/>
              </w:rPr>
              <w:t>Drug-drug interactions and their clinical significance</w:t>
            </w:r>
          </w:p>
        </w:tc>
        <w:tc>
          <w:tcPr>
            <w:tcW w:w="2368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Study hours</w:t>
            </w:r>
          </w:p>
        </w:tc>
        <w:tc>
          <w:tcPr>
            <w:tcW w:w="2623" w:type="dxa"/>
          </w:tcPr>
          <w:p w:rsidR="00CA71D6" w:rsidRDefault="00CA71D6" w:rsidP="00CA71D6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47E84" w:rsidRDefault="00647E84">
      <w:pPr>
        <w:jc w:val="center"/>
      </w:pPr>
    </w:p>
    <w:p w:rsidR="00647E84" w:rsidRDefault="00E8219C">
      <w:r>
        <w:rPr>
          <w:rFonts w:ascii="Times New Roman" w:eastAsia="Times New Roman" w:hAnsi="Times New Roman" w:cs="Times New Roman"/>
          <w:sz w:val="18"/>
          <w:szCs w:val="18"/>
        </w:rPr>
        <w:t>NOTE: Prepare this table for each week of your course.</w:t>
      </w:r>
    </w:p>
    <w:p w:rsidR="00647E84" w:rsidRDefault="00E8219C" w:rsidP="00CA71D6">
      <w:pPr>
        <w:rPr>
          <w:b/>
        </w:rPr>
      </w:pPr>
      <w:r>
        <w:br w:type="page"/>
      </w:r>
      <w:bookmarkStart w:id="1" w:name="_GoBack"/>
      <w:bookmarkEnd w:id="1"/>
    </w:p>
    <w:p w:rsidR="00647E84" w:rsidRDefault="00647E84">
      <w:pPr>
        <w:rPr>
          <w:b/>
        </w:rPr>
      </w:pPr>
    </w:p>
    <w:tbl>
      <w:tblPr>
        <w:tblStyle w:val="af9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47E84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47E84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a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b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47E84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E8219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47E84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c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647E84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647E84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47E84" w:rsidRDefault="00E8219C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647E84" w:rsidRDefault="00647E8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p w:rsidR="00647E84" w:rsidRDefault="00647E84">
      <w:pPr>
        <w:rPr>
          <w:b/>
        </w:rPr>
      </w:pPr>
    </w:p>
    <w:sectPr w:rsidR="00647E84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6D1" w:rsidRDefault="006536D1">
      <w:pPr>
        <w:spacing w:line="240" w:lineRule="auto"/>
      </w:pPr>
      <w:r>
        <w:separator/>
      </w:r>
    </w:p>
  </w:endnote>
  <w:endnote w:type="continuationSeparator" w:id="0">
    <w:p w:rsidR="006536D1" w:rsidRDefault="006536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6D1" w:rsidRDefault="006536D1">
      <w:pPr>
        <w:spacing w:line="240" w:lineRule="auto"/>
      </w:pPr>
      <w:r>
        <w:separator/>
      </w:r>
    </w:p>
  </w:footnote>
  <w:footnote w:type="continuationSeparator" w:id="0">
    <w:p w:rsidR="006536D1" w:rsidRDefault="006536D1">
      <w:pPr>
        <w:spacing w:line="240" w:lineRule="auto"/>
      </w:pPr>
      <w:r>
        <w:continuationSeparator/>
      </w:r>
    </w:p>
  </w:footnote>
  <w:footnote w:id="1">
    <w:p w:rsidR="00E8219C" w:rsidRDefault="00E821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 xml:space="preserve">1 lowest, 2 low, 3 fair, 4 </w:t>
      </w:r>
      <w:proofErr w:type="gramStart"/>
      <w:r>
        <w:rPr>
          <w:color w:val="000000"/>
          <w:sz w:val="20"/>
          <w:szCs w:val="20"/>
        </w:rPr>
        <w:t>high</w:t>
      </w:r>
      <w:proofErr w:type="gramEnd"/>
      <w:r>
        <w:rPr>
          <w:color w:val="000000"/>
          <w:sz w:val="20"/>
          <w:szCs w:val="20"/>
        </w:rPr>
        <w:t>, 5 highest.</w:t>
      </w:r>
    </w:p>
    <w:p w:rsidR="00E8219C" w:rsidRDefault="00E821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36E24"/>
    <w:multiLevelType w:val="multilevel"/>
    <w:tmpl w:val="3410B2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93C2E87"/>
    <w:multiLevelType w:val="multilevel"/>
    <w:tmpl w:val="69405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E84"/>
    <w:rsid w:val="00647E84"/>
    <w:rsid w:val="006536D1"/>
    <w:rsid w:val="006656B5"/>
    <w:rsid w:val="00AB5DCB"/>
    <w:rsid w:val="00CA71D6"/>
    <w:rsid w:val="00E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95F59"/>
  <w15:docId w15:val="{50380231-E448-475D-B0D8-DB77856CF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2201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 Inc.</cp:lastModifiedBy>
  <cp:revision>3</cp:revision>
  <dcterms:created xsi:type="dcterms:W3CDTF">2024-04-01T21:52:00Z</dcterms:created>
  <dcterms:modified xsi:type="dcterms:W3CDTF">2024-04-01T22:28:00Z</dcterms:modified>
</cp:coreProperties>
</file>